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北京市深化破产制度改革 优化营商环境的若干措施</w:t>
      </w:r>
      <w:r>
        <w:rPr>
          <w:rFonts w:hint="eastAsia" w:ascii="Times New Roman" w:hAnsi="Times New Roman" w:eastAsia="方正小标宋简体"/>
          <w:sz w:val="44"/>
          <w:szCs w:val="44"/>
        </w:rPr>
        <w:t>（征求意见稿）》</w:t>
      </w:r>
    </w:p>
    <w:p>
      <w:pPr>
        <w:spacing w:line="640" w:lineRule="exact"/>
        <w:jc w:val="center"/>
        <w:rPr>
          <w:rFonts w:ascii="Times New Roman" w:hAnsi="Times New Roman"/>
          <w:bCs/>
          <w:spacing w:val="0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的</w:t>
      </w:r>
      <w:r>
        <w:rPr>
          <w:rFonts w:ascii="Times New Roman" w:hAnsi="Times New Roman" w:eastAsia="方正小标宋简体"/>
          <w:sz w:val="44"/>
          <w:szCs w:val="44"/>
        </w:rPr>
        <w:t>起草说明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pacing w:val="0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bCs/>
          <w:spacing w:val="0"/>
        </w:rPr>
      </w:pPr>
      <w:r>
        <w:rPr>
          <w:rFonts w:hint="eastAsia" w:ascii="黑体" w:hAnsi="黑体" w:eastAsia="黑体"/>
          <w:bCs/>
          <w:spacing w:val="0"/>
        </w:rPr>
        <w:t>一</w:t>
      </w:r>
      <w:r>
        <w:rPr>
          <w:rFonts w:ascii="黑体" w:hAnsi="黑体" w:eastAsia="黑体"/>
          <w:bCs/>
          <w:spacing w:val="0"/>
        </w:rPr>
        <w:t>、起草背景</w:t>
      </w:r>
    </w:p>
    <w:p>
      <w:pPr>
        <w:spacing w:line="560" w:lineRule="exact"/>
        <w:ind w:firstLine="616" w:firstLineChars="200"/>
        <w:rPr>
          <w:rFonts w:hint="eastAsia" w:ascii="Times New Roman" w:hAnsi="Times New Roman"/>
          <w:bCs/>
          <w:spacing w:val="0"/>
        </w:rPr>
      </w:pPr>
      <w:r>
        <w:rPr>
          <w:rFonts w:hint="eastAsia" w:ascii="仿宋_GB2312" w:hAnsi="Times New Roman"/>
        </w:rPr>
        <w:t>深化</w:t>
      </w:r>
      <w:r>
        <w:rPr>
          <w:rFonts w:ascii="仿宋_GB2312" w:hAnsi="Times New Roman"/>
        </w:rPr>
        <w:t>破产制度改革</w:t>
      </w:r>
      <w:r>
        <w:rPr>
          <w:rFonts w:hint="eastAsia" w:ascii="仿宋_GB2312" w:hAnsi="Times New Roman"/>
          <w:lang w:eastAsia="zh-CN"/>
        </w:rPr>
        <w:t>，是优化营商环境、促进经济高质量发展的要求。</w:t>
      </w:r>
      <w:r>
        <w:rPr>
          <w:rFonts w:hint="eastAsia" w:ascii="仿宋_GB2312" w:hAnsi="Times New Roman"/>
        </w:rPr>
        <w:t>进一步</w:t>
      </w:r>
      <w:r>
        <w:rPr>
          <w:rFonts w:hint="eastAsia" w:ascii="Times New Roman" w:hAnsi="Times New Roman"/>
          <w:bCs/>
          <w:spacing w:val="0"/>
        </w:rPr>
        <w:t>完善破产和市场主体退出工作体系，</w:t>
      </w:r>
      <w:r>
        <w:rPr>
          <w:rFonts w:hint="eastAsia" w:ascii="仿宋_GB2312" w:hAnsi="Times New Roman"/>
        </w:rPr>
        <w:t>提升本市</w:t>
      </w:r>
      <w:r>
        <w:rPr>
          <w:rFonts w:hint="eastAsia" w:ascii="仿宋_GB2312" w:hAnsi="Times New Roman"/>
          <w:lang w:eastAsia="zh-CN"/>
        </w:rPr>
        <w:t>破产公共服务水平和</w:t>
      </w:r>
      <w:r>
        <w:rPr>
          <w:rFonts w:hint="eastAsia" w:ascii="仿宋_GB2312" w:hAnsi="Times New Roman"/>
        </w:rPr>
        <w:t>破产事务办理</w:t>
      </w:r>
      <w:r>
        <w:rPr>
          <w:rFonts w:hint="eastAsia" w:ascii="Times New Roman" w:hAnsi="Times New Roman"/>
          <w:bCs/>
          <w:spacing w:val="0"/>
        </w:rPr>
        <w:t>质效，</w:t>
      </w:r>
      <w:r>
        <w:rPr>
          <w:rFonts w:hint="eastAsia" w:ascii="仿宋_GB2312" w:hAnsi="仿宋_GB2312" w:eastAsia="仿宋_GB2312" w:cs="仿宋_GB2312"/>
        </w:rPr>
        <w:t>为企业高效重整和有序退出提供良好的制度保障，</w:t>
      </w:r>
      <w:r>
        <w:rPr>
          <w:rFonts w:hint="eastAsia" w:ascii="仿宋_GB2312" w:hAnsi="仿宋_GB2312" w:cs="仿宋_GB2312"/>
          <w:lang w:eastAsia="zh-CN"/>
        </w:rPr>
        <w:t>对于</w:t>
      </w:r>
      <w:r>
        <w:rPr>
          <w:rFonts w:hint="eastAsia" w:ascii="仿宋_GB2312" w:hAnsi="仿宋_GB2312" w:eastAsia="仿宋_GB2312" w:cs="仿宋_GB2312"/>
        </w:rPr>
        <w:t>激发市场主体活力，增强市场主体获得感，打造首善标准、国际一流的“北京服务”，营造市场化、法治化、国际化营商环境</w:t>
      </w:r>
      <w:r>
        <w:rPr>
          <w:rFonts w:hint="eastAsia" w:ascii="仿宋_GB2312" w:hAnsi="仿宋_GB2312" w:cs="仿宋_GB2312"/>
          <w:lang w:eastAsia="zh-CN"/>
        </w:rPr>
        <w:t>具有重要意义。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pacing w:val="0"/>
        </w:rPr>
      </w:pPr>
      <w:r>
        <w:rPr>
          <w:rFonts w:hint="eastAsia" w:ascii="黑体" w:hAnsi="黑体" w:eastAsia="黑体"/>
          <w:bCs/>
          <w:spacing w:val="0"/>
        </w:rPr>
        <w:t>二</w:t>
      </w:r>
      <w:r>
        <w:rPr>
          <w:rFonts w:ascii="黑体" w:hAnsi="黑体" w:eastAsia="黑体"/>
          <w:bCs/>
          <w:spacing w:val="0"/>
        </w:rPr>
        <w:t>、</w:t>
      </w:r>
      <w:r>
        <w:rPr>
          <w:rFonts w:hint="eastAsia" w:ascii="黑体" w:hAnsi="黑体" w:eastAsia="黑体"/>
          <w:bCs/>
          <w:spacing w:val="0"/>
        </w:rPr>
        <w:t>起草过程</w:t>
      </w:r>
    </w:p>
    <w:p>
      <w:pPr>
        <w:spacing w:line="560" w:lineRule="exact"/>
        <w:ind w:firstLine="640" w:firstLineChars="200"/>
        <w:rPr>
          <w:rFonts w:ascii="Times New Roman" w:hAnsi="Times New Roman"/>
          <w:bCs/>
          <w:spacing w:val="0"/>
        </w:rPr>
      </w:pPr>
      <w:r>
        <w:rPr>
          <w:rFonts w:hint="eastAsia" w:ascii="Times New Roman" w:hAnsi="Times New Roman"/>
          <w:bCs/>
          <w:spacing w:val="0"/>
          <w:lang w:eastAsia="zh-CN"/>
        </w:rPr>
        <w:t>按照本市新一轮优化营商环境工作部署，在对国家及本市破产制度相关文件进行系统梳理的基础上，</w:t>
      </w:r>
      <w:r>
        <w:rPr>
          <w:rFonts w:hint="eastAsia" w:ascii="Times New Roman" w:hAnsi="Times New Roman"/>
          <w:bCs/>
          <w:spacing w:val="0"/>
        </w:rPr>
        <w:t>充分</w:t>
      </w:r>
      <w:r>
        <w:rPr>
          <w:rFonts w:hint="eastAsia" w:ascii="Times New Roman" w:hAnsi="Times New Roman"/>
          <w:bCs/>
          <w:spacing w:val="0"/>
          <w:lang w:eastAsia="zh-CN"/>
        </w:rPr>
        <w:t>总结</w:t>
      </w:r>
      <w:r>
        <w:rPr>
          <w:rFonts w:hint="eastAsia" w:ascii="Times New Roman" w:hAnsi="Times New Roman"/>
          <w:bCs/>
          <w:spacing w:val="0"/>
        </w:rPr>
        <w:t>借鉴</w:t>
      </w:r>
      <w:r>
        <w:rPr>
          <w:rFonts w:hint="eastAsia" w:ascii="Times New Roman" w:hAnsi="Times New Roman"/>
          <w:bCs/>
          <w:spacing w:val="0"/>
          <w:lang w:eastAsia="zh-CN"/>
        </w:rPr>
        <w:t>各部门经验做法，</w:t>
      </w:r>
      <w:r>
        <w:rPr>
          <w:rFonts w:hint="eastAsia" w:ascii="Times New Roman" w:hAnsi="Times New Roman"/>
          <w:bCs/>
          <w:spacing w:val="0"/>
        </w:rPr>
        <w:t>以增强市场主体获得感为出发点，着眼于解决破产办理政策“最后一公里”问题</w:t>
      </w:r>
      <w:r>
        <w:rPr>
          <w:rFonts w:hint="eastAsia" w:ascii="Times New Roman" w:hAnsi="Times New Roman"/>
          <w:bCs/>
          <w:spacing w:val="0"/>
          <w:lang w:eastAsia="zh-CN"/>
        </w:rPr>
        <w:t>，充分</w:t>
      </w:r>
      <w:r>
        <w:rPr>
          <w:rFonts w:hint="eastAsia" w:ascii="Times New Roman" w:hAnsi="Times New Roman"/>
          <w:bCs/>
          <w:spacing w:val="0"/>
        </w:rPr>
        <w:t>考虑</w:t>
      </w:r>
      <w:r>
        <w:rPr>
          <w:rFonts w:hint="eastAsia" w:ascii="Times New Roman" w:hAnsi="Times New Roman"/>
          <w:bCs/>
          <w:spacing w:val="0"/>
          <w:lang w:eastAsia="zh-CN"/>
        </w:rPr>
        <w:t>人民法院和</w:t>
      </w:r>
      <w:r>
        <w:rPr>
          <w:rFonts w:hint="eastAsia" w:ascii="Times New Roman" w:hAnsi="Times New Roman"/>
          <w:bCs/>
          <w:spacing w:val="0"/>
        </w:rPr>
        <w:t>管理人办理</w:t>
      </w:r>
      <w:r>
        <w:rPr>
          <w:rFonts w:ascii="Times New Roman" w:hAnsi="Times New Roman"/>
          <w:bCs/>
          <w:spacing w:val="0"/>
        </w:rPr>
        <w:t>破产实际，</w:t>
      </w:r>
      <w:r>
        <w:rPr>
          <w:rFonts w:hint="eastAsia" w:ascii="Times New Roman" w:hAnsi="Times New Roman"/>
          <w:bCs/>
          <w:spacing w:val="0"/>
        </w:rPr>
        <w:t>组织起草了《北京市深化破产制度改革优化营商环境的若干措施》（以下简称《若干措施》）</w:t>
      </w:r>
      <w:r>
        <w:rPr>
          <w:rFonts w:hint="eastAsia" w:ascii="Times New Roman" w:hAnsi="Times New Roman"/>
          <w:bCs/>
          <w:spacing w:val="0"/>
          <w:lang w:eastAsia="zh-CN"/>
        </w:rPr>
        <w:t>，</w:t>
      </w:r>
      <w:r>
        <w:rPr>
          <w:rFonts w:hint="eastAsia" w:ascii="仿宋_GB2312"/>
          <w:szCs w:val="32"/>
        </w:rPr>
        <w:t>提出</w:t>
      </w:r>
      <w:r>
        <w:rPr>
          <w:rFonts w:hint="eastAsia" w:ascii="仿宋_GB2312"/>
          <w:szCs w:val="32"/>
          <w:lang w:val="en-US" w:eastAsia="zh-CN"/>
        </w:rPr>
        <w:t>43条</w:t>
      </w:r>
      <w:bookmarkStart w:id="0" w:name="_GoBack"/>
      <w:bookmarkEnd w:id="0"/>
      <w:r>
        <w:rPr>
          <w:rFonts w:ascii="仿宋_GB2312"/>
          <w:szCs w:val="32"/>
        </w:rPr>
        <w:t>务实性政策</w:t>
      </w:r>
      <w:r>
        <w:rPr>
          <w:rFonts w:hint="eastAsia" w:ascii="仿宋_GB2312"/>
          <w:szCs w:val="32"/>
        </w:rPr>
        <w:t>措施</w:t>
      </w:r>
      <w:r>
        <w:rPr>
          <w:rFonts w:hint="eastAsia" w:ascii="Times New Roman" w:hAnsi="Times New Roman"/>
          <w:bCs/>
          <w:spacing w:val="0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/>
          <w:bCs/>
          <w:spacing w:val="0"/>
        </w:rPr>
      </w:pPr>
      <w:r>
        <w:rPr>
          <w:rFonts w:hint="eastAsia" w:ascii="Times New Roman" w:hAnsi="Times New Roman"/>
          <w:bCs/>
          <w:spacing w:val="0"/>
        </w:rPr>
        <w:t>经征求市</w:t>
      </w:r>
      <w:r>
        <w:rPr>
          <w:rFonts w:ascii="Times New Roman" w:hAnsi="Times New Roman"/>
          <w:bCs/>
          <w:spacing w:val="0"/>
        </w:rPr>
        <w:t>高级人民法院、市规划和自然资源委、市</w:t>
      </w:r>
      <w:r>
        <w:rPr>
          <w:rFonts w:hint="eastAsia" w:ascii="Times New Roman" w:hAnsi="Times New Roman"/>
          <w:bCs/>
          <w:spacing w:val="0"/>
        </w:rPr>
        <w:t>税务局</w:t>
      </w:r>
      <w:r>
        <w:rPr>
          <w:rFonts w:ascii="Times New Roman" w:hAnsi="Times New Roman"/>
          <w:bCs/>
          <w:spacing w:val="0"/>
        </w:rPr>
        <w:t>等市级部门</w:t>
      </w:r>
      <w:r>
        <w:rPr>
          <w:rFonts w:hint="eastAsia" w:ascii="Times New Roman" w:hAnsi="Times New Roman"/>
          <w:bCs/>
          <w:spacing w:val="0"/>
        </w:rPr>
        <w:t>、</w:t>
      </w:r>
      <w:r>
        <w:rPr>
          <w:rFonts w:ascii="Times New Roman" w:hAnsi="Times New Roman"/>
          <w:bCs/>
          <w:spacing w:val="0"/>
        </w:rPr>
        <w:t>各区政府、破产管理人协会</w:t>
      </w:r>
      <w:r>
        <w:rPr>
          <w:rFonts w:hint="eastAsia" w:ascii="Times New Roman" w:hAnsi="Times New Roman"/>
          <w:bCs/>
          <w:spacing w:val="0"/>
        </w:rPr>
        <w:t>和</w:t>
      </w:r>
      <w:r>
        <w:rPr>
          <w:rFonts w:ascii="Times New Roman" w:hAnsi="Times New Roman"/>
          <w:bCs/>
          <w:spacing w:val="0"/>
        </w:rPr>
        <w:t>破产管理人代表</w:t>
      </w:r>
      <w:r>
        <w:rPr>
          <w:rFonts w:hint="eastAsia" w:ascii="Times New Roman" w:hAnsi="Times New Roman"/>
          <w:bCs/>
          <w:spacing w:val="0"/>
        </w:rPr>
        <w:t>、我委相关处室、有关专家学者的意见，修改完善后形成征求意见稿。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pacing w:val="0"/>
        </w:rPr>
      </w:pPr>
      <w:r>
        <w:rPr>
          <w:rFonts w:hint="eastAsia" w:ascii="黑体" w:hAnsi="黑体" w:eastAsia="黑体"/>
          <w:bCs/>
          <w:spacing w:val="0"/>
        </w:rPr>
        <w:t>三</w:t>
      </w:r>
      <w:r>
        <w:rPr>
          <w:rFonts w:ascii="黑体" w:hAnsi="黑体" w:eastAsia="黑体"/>
          <w:bCs/>
          <w:spacing w:val="0"/>
        </w:rPr>
        <w:t>、《</w:t>
      </w:r>
      <w:r>
        <w:rPr>
          <w:rFonts w:hint="eastAsia" w:ascii="黑体" w:hAnsi="黑体" w:eastAsia="黑体"/>
          <w:bCs/>
          <w:spacing w:val="0"/>
        </w:rPr>
        <w:t>若干措施</w:t>
      </w:r>
      <w:r>
        <w:rPr>
          <w:rFonts w:ascii="黑体" w:hAnsi="黑体" w:eastAsia="黑体"/>
          <w:bCs/>
          <w:spacing w:val="0"/>
        </w:rPr>
        <w:t>》主要内容</w:t>
      </w:r>
    </w:p>
    <w:p>
      <w:pPr>
        <w:spacing w:line="560" w:lineRule="exact"/>
        <w:ind w:firstLine="640" w:firstLineChars="200"/>
        <w:rPr>
          <w:rFonts w:ascii="Times New Roman" w:hAnsi="Times New Roman"/>
          <w:bCs/>
          <w:spacing w:val="0"/>
        </w:rPr>
      </w:pPr>
      <w:r>
        <w:rPr>
          <w:rFonts w:ascii="Times New Roman" w:hAnsi="Times New Roman"/>
          <w:bCs/>
          <w:spacing w:val="0"/>
        </w:rPr>
        <w:t>《</w:t>
      </w:r>
      <w:r>
        <w:rPr>
          <w:rFonts w:hint="eastAsia" w:ascii="Times New Roman" w:hAnsi="Times New Roman"/>
          <w:bCs/>
          <w:spacing w:val="0"/>
        </w:rPr>
        <w:t>若干措施</w:t>
      </w:r>
      <w:r>
        <w:rPr>
          <w:rFonts w:ascii="Times New Roman" w:hAnsi="Times New Roman"/>
          <w:bCs/>
          <w:spacing w:val="0"/>
        </w:rPr>
        <w:t>》共</w:t>
      </w:r>
      <w:r>
        <w:rPr>
          <w:rFonts w:hint="eastAsia" w:ascii="Times New Roman" w:hAnsi="Times New Roman"/>
          <w:bCs/>
          <w:spacing w:val="0"/>
        </w:rPr>
        <w:t>九</w:t>
      </w:r>
      <w:r>
        <w:rPr>
          <w:rFonts w:ascii="Times New Roman" w:hAnsi="Times New Roman"/>
          <w:bCs/>
          <w:spacing w:val="0"/>
        </w:rPr>
        <w:t>章4</w:t>
      </w:r>
      <w:r>
        <w:rPr>
          <w:rFonts w:hint="eastAsia" w:ascii="Times New Roman" w:hAnsi="Times New Roman"/>
          <w:bCs/>
          <w:spacing w:val="0"/>
          <w:lang w:val="en-US" w:eastAsia="zh-CN"/>
        </w:rPr>
        <w:t>3</w:t>
      </w:r>
      <w:r>
        <w:rPr>
          <w:rFonts w:ascii="Times New Roman" w:hAnsi="Times New Roman"/>
          <w:bCs/>
          <w:spacing w:val="0"/>
        </w:rPr>
        <w:t>条。第一章</w:t>
      </w:r>
      <w:r>
        <w:rPr>
          <w:rFonts w:hint="eastAsia" w:ascii="Times New Roman" w:hAnsi="Times New Roman"/>
          <w:bCs/>
          <w:spacing w:val="0"/>
        </w:rPr>
        <w:t>至</w:t>
      </w:r>
      <w:r>
        <w:rPr>
          <w:rFonts w:ascii="Times New Roman" w:hAnsi="Times New Roman"/>
          <w:bCs/>
          <w:spacing w:val="0"/>
        </w:rPr>
        <w:t>第</w:t>
      </w:r>
      <w:r>
        <w:rPr>
          <w:rFonts w:hint="eastAsia" w:ascii="Times New Roman" w:hAnsi="Times New Roman"/>
          <w:bCs/>
          <w:spacing w:val="0"/>
        </w:rPr>
        <w:t>八</w:t>
      </w:r>
      <w:r>
        <w:rPr>
          <w:rFonts w:ascii="Times New Roman" w:hAnsi="Times New Roman"/>
          <w:bCs/>
          <w:spacing w:val="0"/>
        </w:rPr>
        <w:t>章为</w:t>
      </w:r>
      <w:r>
        <w:rPr>
          <w:rFonts w:hint="eastAsia" w:ascii="Times New Roman" w:hAnsi="Times New Roman"/>
          <w:bCs/>
          <w:spacing w:val="0"/>
        </w:rPr>
        <w:t>破产制度</w:t>
      </w:r>
      <w:r>
        <w:rPr>
          <w:rFonts w:ascii="Times New Roman" w:hAnsi="Times New Roman"/>
          <w:bCs/>
          <w:spacing w:val="0"/>
        </w:rPr>
        <w:t>各领域工作内容，第</w:t>
      </w:r>
      <w:r>
        <w:rPr>
          <w:rFonts w:hint="eastAsia" w:ascii="Times New Roman" w:hAnsi="Times New Roman"/>
          <w:bCs/>
          <w:spacing w:val="0"/>
        </w:rPr>
        <w:t>九</w:t>
      </w:r>
      <w:r>
        <w:rPr>
          <w:rFonts w:ascii="Times New Roman" w:hAnsi="Times New Roman"/>
          <w:bCs/>
          <w:spacing w:val="0"/>
        </w:rPr>
        <w:t>章为</w:t>
      </w:r>
      <w:r>
        <w:rPr>
          <w:rFonts w:hint="eastAsia" w:ascii="Times New Roman" w:hAnsi="Times New Roman"/>
          <w:bCs/>
          <w:spacing w:val="0"/>
        </w:rPr>
        <w:t>组织</w:t>
      </w:r>
      <w:r>
        <w:rPr>
          <w:rFonts w:ascii="Times New Roman" w:hAnsi="Times New Roman"/>
          <w:bCs/>
          <w:spacing w:val="0"/>
        </w:rPr>
        <w:t>保障。</w:t>
      </w:r>
    </w:p>
    <w:p>
      <w:pPr>
        <w:spacing w:line="560" w:lineRule="exact"/>
        <w:ind w:firstLine="640" w:firstLineChars="200"/>
        <w:rPr>
          <w:rFonts w:ascii="Times New Roman" w:hAnsi="Times New Roman"/>
          <w:bCs/>
          <w:spacing w:val="0"/>
        </w:rPr>
      </w:pPr>
      <w:r>
        <w:rPr>
          <w:rFonts w:hint="eastAsia" w:ascii="楷体" w:hAnsi="楷体" w:eastAsia="楷体"/>
          <w:bCs/>
          <w:spacing w:val="0"/>
        </w:rPr>
        <w:t>第一章完善财产处置机制。</w:t>
      </w:r>
      <w:r>
        <w:rPr>
          <w:rFonts w:hint="eastAsia" w:ascii="Times New Roman" w:hAnsi="Times New Roman"/>
          <w:bCs/>
          <w:spacing w:val="0"/>
        </w:rPr>
        <w:t>明确了</w:t>
      </w:r>
      <w:r>
        <w:rPr>
          <w:rFonts w:ascii="Times New Roman" w:hAnsi="Times New Roman"/>
          <w:bCs/>
          <w:spacing w:val="0"/>
        </w:rPr>
        <w:t>破产财产带封处置程序</w:t>
      </w:r>
      <w:r>
        <w:rPr>
          <w:rFonts w:hint="eastAsia" w:ascii="Times New Roman" w:hAnsi="Times New Roman"/>
          <w:bCs/>
          <w:spacing w:val="0"/>
        </w:rPr>
        <w:t>、</w:t>
      </w:r>
      <w:r>
        <w:rPr>
          <w:rFonts w:ascii="Times New Roman" w:hAnsi="Times New Roman"/>
          <w:bCs/>
          <w:spacing w:val="0"/>
        </w:rPr>
        <w:t>国有划拨土地转移流程、无法办理规划</w:t>
      </w:r>
      <w:r>
        <w:rPr>
          <w:rFonts w:hint="eastAsia" w:ascii="Times New Roman" w:hAnsi="Times New Roman"/>
          <w:bCs/>
          <w:spacing w:val="0"/>
        </w:rPr>
        <w:t>核验</w:t>
      </w:r>
      <w:r>
        <w:rPr>
          <w:rFonts w:hint="eastAsia" w:ascii="Times New Roman" w:hAnsi="Times New Roman"/>
          <w:bCs/>
          <w:spacing w:val="0"/>
          <w:lang w:eastAsia="zh-CN"/>
        </w:rPr>
        <w:t>和</w:t>
      </w:r>
      <w:r>
        <w:rPr>
          <w:rFonts w:ascii="Times New Roman" w:hAnsi="Times New Roman"/>
          <w:bCs/>
          <w:spacing w:val="0"/>
        </w:rPr>
        <w:t>竣工验收项目的不动产登记手续、管理人办理不动产登记权限、企业股权变更、机动车处置、违法车辆记分处理等内容。</w:t>
      </w:r>
    </w:p>
    <w:p>
      <w:pPr>
        <w:spacing w:line="560" w:lineRule="exact"/>
        <w:ind w:firstLine="640" w:firstLineChars="200"/>
        <w:rPr>
          <w:rFonts w:ascii="Times New Roman" w:hAnsi="Times New Roman"/>
          <w:bCs/>
          <w:spacing w:val="0"/>
        </w:rPr>
      </w:pPr>
      <w:r>
        <w:rPr>
          <w:rFonts w:hint="eastAsia" w:ascii="楷体" w:hAnsi="楷体" w:eastAsia="楷体"/>
          <w:bCs/>
          <w:spacing w:val="0"/>
        </w:rPr>
        <w:t>第二章构建信用修复机制。</w:t>
      </w:r>
      <w:r>
        <w:rPr>
          <w:rFonts w:hint="eastAsia" w:ascii="Times New Roman" w:hAnsi="Times New Roman" w:eastAsia="楷体"/>
          <w:bCs/>
          <w:spacing w:val="0"/>
          <w:lang w:eastAsia="zh-CN"/>
        </w:rPr>
        <w:t>完善</w:t>
      </w:r>
      <w:r>
        <w:rPr>
          <w:rFonts w:hint="eastAsia" w:ascii="Times New Roman" w:hAnsi="Times New Roman"/>
          <w:bCs/>
          <w:spacing w:val="0"/>
        </w:rPr>
        <w:t>了信用修复“一口申报”</w:t>
      </w:r>
      <w:r>
        <w:rPr>
          <w:rFonts w:hint="eastAsia" w:ascii="Times New Roman" w:hAnsi="Times New Roman"/>
          <w:bCs/>
          <w:spacing w:val="0"/>
          <w:lang w:eastAsia="zh-CN"/>
        </w:rPr>
        <w:t>机制</w:t>
      </w:r>
      <w:r>
        <w:rPr>
          <w:rFonts w:hint="eastAsia" w:ascii="Times New Roman" w:hAnsi="Times New Roman"/>
          <w:bCs/>
          <w:spacing w:val="0"/>
        </w:rPr>
        <w:t>，明确</w:t>
      </w:r>
      <w:r>
        <w:rPr>
          <w:rFonts w:ascii="Times New Roman" w:hAnsi="Times New Roman"/>
          <w:bCs/>
          <w:spacing w:val="0"/>
        </w:rPr>
        <w:t>了行政处罚信用修复、市场监管信用修复、纳税信用修复、金融信用修复的程序。</w:t>
      </w:r>
    </w:p>
    <w:p>
      <w:pPr>
        <w:spacing w:line="560" w:lineRule="exact"/>
        <w:ind w:firstLine="640" w:firstLineChars="200"/>
        <w:rPr>
          <w:rFonts w:ascii="Times New Roman" w:hAnsi="Times New Roman"/>
          <w:bCs/>
          <w:spacing w:val="0"/>
        </w:rPr>
      </w:pPr>
      <w:r>
        <w:rPr>
          <w:rFonts w:hint="eastAsia" w:ascii="楷体" w:hAnsi="楷体" w:eastAsia="楷体"/>
          <w:bCs/>
          <w:spacing w:val="0"/>
        </w:rPr>
        <w:t>第三章优化涉税服务。</w:t>
      </w:r>
      <w:r>
        <w:rPr>
          <w:rFonts w:hint="eastAsia" w:ascii="Times New Roman" w:hAnsi="Times New Roman"/>
          <w:bCs/>
          <w:spacing w:val="0"/>
        </w:rPr>
        <w:t>明确了提高</w:t>
      </w:r>
      <w:r>
        <w:rPr>
          <w:rFonts w:ascii="Times New Roman" w:hAnsi="Times New Roman"/>
          <w:bCs/>
          <w:spacing w:val="0"/>
        </w:rPr>
        <w:t>债权申报效率、解除非正常户认定、</w:t>
      </w:r>
      <w:r>
        <w:rPr>
          <w:rFonts w:hint="eastAsia" w:ascii="Times New Roman" w:hAnsi="Times New Roman"/>
          <w:bCs/>
          <w:spacing w:val="0"/>
        </w:rPr>
        <w:t>依法办理纳税申报、保障发票供应、给予税收政策支持、优化税务注销程序等内容。</w:t>
      </w:r>
    </w:p>
    <w:p>
      <w:pPr>
        <w:spacing w:line="560" w:lineRule="exact"/>
        <w:ind w:firstLine="640" w:firstLineChars="200"/>
        <w:rPr>
          <w:rFonts w:ascii="Times New Roman" w:hAnsi="Times New Roman"/>
          <w:bCs/>
          <w:spacing w:val="0"/>
        </w:rPr>
      </w:pPr>
      <w:r>
        <w:rPr>
          <w:rFonts w:hint="eastAsia" w:ascii="楷体" w:hAnsi="楷体" w:eastAsia="楷体"/>
          <w:bCs/>
          <w:spacing w:val="0"/>
        </w:rPr>
        <w:t>第四章健全注销登记制度。</w:t>
      </w:r>
      <w:r>
        <w:rPr>
          <w:rFonts w:hint="eastAsia" w:ascii="Times New Roman" w:hAnsi="Times New Roman"/>
          <w:bCs/>
          <w:spacing w:val="0"/>
        </w:rPr>
        <w:t>提出</w:t>
      </w:r>
      <w:r>
        <w:rPr>
          <w:rFonts w:ascii="Times New Roman" w:hAnsi="Times New Roman"/>
          <w:bCs/>
          <w:spacing w:val="0"/>
        </w:rPr>
        <w:t>了</w:t>
      </w:r>
      <w:r>
        <w:rPr>
          <w:rFonts w:hint="eastAsia" w:ascii="Times New Roman" w:hAnsi="Times New Roman"/>
          <w:bCs/>
          <w:spacing w:val="0"/>
        </w:rPr>
        <w:t>便利企业简易注销、完善“e窗通”平台功能、完善除名机制、推进注销登记确认制改革等内容</w:t>
      </w:r>
      <w:r>
        <w:rPr>
          <w:rFonts w:ascii="Times New Roman" w:hAnsi="Times New Roman"/>
          <w:bCs/>
          <w:spacing w:val="0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/>
          <w:bCs/>
          <w:spacing w:val="0"/>
        </w:rPr>
      </w:pPr>
      <w:r>
        <w:rPr>
          <w:rFonts w:hint="eastAsia" w:ascii="楷体" w:hAnsi="楷体" w:eastAsia="楷体"/>
          <w:bCs/>
          <w:spacing w:val="0"/>
        </w:rPr>
        <w:t>第五章构建信息查询服务体系。</w:t>
      </w:r>
      <w:r>
        <w:rPr>
          <w:rFonts w:hint="eastAsia" w:ascii="Times New Roman" w:hAnsi="Times New Roman"/>
          <w:bCs/>
          <w:spacing w:val="0"/>
        </w:rPr>
        <w:t>提出了提供“</w:t>
      </w:r>
      <w:r>
        <w:rPr>
          <w:rFonts w:hint="eastAsia" w:ascii="Times New Roman" w:hAnsi="Times New Roman"/>
          <w:bCs/>
          <w:spacing w:val="0"/>
          <w:lang w:eastAsia="zh-CN"/>
        </w:rPr>
        <w:t>一区</w:t>
      </w:r>
      <w:r>
        <w:rPr>
          <w:rFonts w:hint="eastAsia" w:ascii="Times New Roman" w:hAnsi="Times New Roman"/>
          <w:bCs/>
          <w:spacing w:val="0"/>
        </w:rPr>
        <w:t>一窗一网”快捷查询服务、拓展分领域信息查询服务、提供政府债权人债权申报“一窗办理”服务等内容。</w:t>
      </w:r>
    </w:p>
    <w:p>
      <w:pPr>
        <w:spacing w:line="560" w:lineRule="exact"/>
        <w:ind w:firstLine="640" w:firstLineChars="200"/>
        <w:rPr>
          <w:rFonts w:ascii="Times New Roman" w:hAnsi="Times New Roman"/>
          <w:bCs/>
          <w:spacing w:val="0"/>
        </w:rPr>
      </w:pPr>
      <w:r>
        <w:rPr>
          <w:rFonts w:hint="eastAsia" w:ascii="楷体" w:hAnsi="楷体" w:eastAsia="楷体"/>
          <w:bCs/>
          <w:spacing w:val="0"/>
        </w:rPr>
        <w:t>第六章强化企业救助和风险化解。</w:t>
      </w:r>
      <w:r>
        <w:rPr>
          <w:rFonts w:hint="eastAsia" w:ascii="Times New Roman" w:hAnsi="Times New Roman"/>
          <w:bCs/>
          <w:spacing w:val="0"/>
        </w:rPr>
        <w:t>明确了建立破产风险监测预警机制、搭建庭外调解平台、发挥金融机构债权人</w:t>
      </w:r>
      <w:r>
        <w:rPr>
          <w:rFonts w:ascii="Times New Roman" w:hAnsi="Times New Roman"/>
          <w:bCs/>
          <w:spacing w:val="0"/>
        </w:rPr>
        <w:t>委员会</w:t>
      </w:r>
      <w:r>
        <w:rPr>
          <w:rFonts w:hint="eastAsia" w:ascii="Times New Roman" w:hAnsi="Times New Roman"/>
          <w:bCs/>
          <w:spacing w:val="0"/>
        </w:rPr>
        <w:t>作用、加强劳动用工保障等内容</w:t>
      </w:r>
      <w:r>
        <w:rPr>
          <w:rFonts w:ascii="Times New Roman" w:hAnsi="Times New Roman"/>
          <w:bCs/>
          <w:spacing w:val="0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/>
          <w:bCs/>
          <w:spacing w:val="0"/>
        </w:rPr>
      </w:pPr>
      <w:r>
        <w:rPr>
          <w:rFonts w:hint="eastAsia" w:ascii="楷体" w:hAnsi="楷体" w:eastAsia="楷体"/>
          <w:bCs/>
          <w:spacing w:val="0"/>
        </w:rPr>
        <w:t>第七章支持企业重整。</w:t>
      </w:r>
      <w:r>
        <w:rPr>
          <w:rFonts w:hint="eastAsia" w:ascii="Times New Roman" w:hAnsi="Times New Roman"/>
          <w:bCs/>
          <w:spacing w:val="0"/>
        </w:rPr>
        <w:t>提出了强化管理人协会服务功能、创新重整投资人选定模式、发挥资产处置交易平台作用、发挥金融机构和专业机构的金融救助功能等内容。</w:t>
      </w:r>
    </w:p>
    <w:p>
      <w:pPr>
        <w:spacing w:line="560" w:lineRule="exact"/>
        <w:ind w:firstLine="640" w:firstLineChars="200"/>
        <w:rPr>
          <w:rFonts w:ascii="Times New Roman" w:hAnsi="Times New Roman"/>
          <w:bCs/>
          <w:spacing w:val="0"/>
        </w:rPr>
      </w:pPr>
      <w:r>
        <w:rPr>
          <w:rFonts w:hint="eastAsia" w:ascii="楷体" w:hAnsi="楷体" w:eastAsia="楷体"/>
          <w:bCs/>
          <w:spacing w:val="0"/>
        </w:rPr>
        <w:t>第八章保障管理人依法履职。</w:t>
      </w:r>
      <w:r>
        <w:rPr>
          <w:rFonts w:hint="eastAsia" w:ascii="Times New Roman" w:hAnsi="Times New Roman"/>
          <w:bCs/>
          <w:spacing w:val="0"/>
        </w:rPr>
        <w:t>明确</w:t>
      </w:r>
      <w:r>
        <w:rPr>
          <w:rFonts w:ascii="Times New Roman" w:hAnsi="Times New Roman"/>
          <w:bCs/>
          <w:spacing w:val="0"/>
        </w:rPr>
        <w:t>了</w:t>
      </w:r>
      <w:r>
        <w:rPr>
          <w:rFonts w:hint="eastAsia" w:ascii="Times New Roman" w:hAnsi="Times New Roman"/>
          <w:bCs/>
          <w:spacing w:val="0"/>
        </w:rPr>
        <w:t>优化破产援助资金管理办法、便利管理人管理银行账户、提高管理人</w:t>
      </w:r>
      <w:r>
        <w:rPr>
          <w:rFonts w:ascii="Times New Roman" w:hAnsi="Times New Roman"/>
          <w:bCs/>
          <w:spacing w:val="0"/>
        </w:rPr>
        <w:t>专业化能力</w:t>
      </w:r>
      <w:r>
        <w:rPr>
          <w:rFonts w:hint="eastAsia" w:ascii="Times New Roman" w:hAnsi="Times New Roman"/>
          <w:bCs/>
          <w:spacing w:val="0"/>
        </w:rPr>
        <w:t>等内容。</w:t>
      </w:r>
    </w:p>
    <w:p>
      <w:pPr>
        <w:spacing w:line="560" w:lineRule="exact"/>
        <w:ind w:firstLine="640" w:firstLineChars="200"/>
        <w:rPr>
          <w:rFonts w:ascii="Times New Roman" w:hAnsi="Times New Roman"/>
          <w:bCs/>
          <w:spacing w:val="0"/>
        </w:rPr>
      </w:pPr>
      <w:r>
        <w:rPr>
          <w:rFonts w:hint="eastAsia" w:ascii="楷体" w:hAnsi="楷体" w:eastAsia="楷体"/>
          <w:bCs/>
          <w:spacing w:val="0"/>
        </w:rPr>
        <w:t>第九章强化组织保障。</w:t>
      </w:r>
      <w:r>
        <w:rPr>
          <w:rFonts w:hint="eastAsia" w:ascii="Times New Roman" w:hAnsi="Times New Roman"/>
          <w:bCs/>
          <w:spacing w:val="0"/>
        </w:rPr>
        <w:t>提出了充分发挥协调机制作用、推进政策细化落实、加强宣传培训等内容</w:t>
      </w:r>
      <w:r>
        <w:rPr>
          <w:rFonts w:ascii="Times New Roman" w:hAnsi="Times New Roman"/>
          <w:bCs/>
          <w:spacing w:val="0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/>
          <w:bCs/>
          <w:spacing w:val="0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bCs/>
          <w:spacing w:val="0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bCs/>
          <w:spacing w:val="0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bCs/>
          <w:spacing w:val="0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2Y2M5ZWZmNzY4OTFmOTRkMTgyMzQzYjUwNGMyNWUifQ=="/>
  </w:docVars>
  <w:rsids>
    <w:rsidRoot w:val="00F96A59"/>
    <w:rsid w:val="0005480C"/>
    <w:rsid w:val="0008507C"/>
    <w:rsid w:val="0010398A"/>
    <w:rsid w:val="001A5A7F"/>
    <w:rsid w:val="00237A6C"/>
    <w:rsid w:val="002B6D48"/>
    <w:rsid w:val="003133CA"/>
    <w:rsid w:val="00315C2E"/>
    <w:rsid w:val="00610A7C"/>
    <w:rsid w:val="00AA13A6"/>
    <w:rsid w:val="00AA4B54"/>
    <w:rsid w:val="00B9419C"/>
    <w:rsid w:val="00C666CC"/>
    <w:rsid w:val="00D736DF"/>
    <w:rsid w:val="00E02E5C"/>
    <w:rsid w:val="00E70D4B"/>
    <w:rsid w:val="00F96A59"/>
    <w:rsid w:val="00FC0C4E"/>
    <w:rsid w:val="010A0922"/>
    <w:rsid w:val="069A1E79"/>
    <w:rsid w:val="126B3FF7"/>
    <w:rsid w:val="181A6502"/>
    <w:rsid w:val="20B834A0"/>
    <w:rsid w:val="42240607"/>
    <w:rsid w:val="442E1B0B"/>
    <w:rsid w:val="50E0220E"/>
    <w:rsid w:val="54DE48E3"/>
    <w:rsid w:val="6D080BE0"/>
    <w:rsid w:val="77204A34"/>
    <w:rsid w:val="7A2B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-6"/>
      <w:kern w:val="2"/>
      <w:sz w:val="32"/>
      <w:szCs w:val="32"/>
      <w:lang w:val="en-US" w:eastAsia="zh-CN" w:bidi="he-IL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3">
    <w:name w:val="Document Map"/>
    <w:basedOn w:val="1"/>
    <w:link w:val="14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4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link w:val="13"/>
    <w:semiHidden/>
    <w:unhideWhenUsed/>
    <w:qFormat/>
    <w:uiPriority w:val="99"/>
    <w:pPr>
      <w:ind w:firstLine="420" w:firstLineChars="200"/>
    </w:pPr>
  </w:style>
  <w:style w:type="paragraph" w:customStyle="1" w:styleId="10">
    <w:name w:val="_Style 3"/>
    <w:basedOn w:val="4"/>
    <w:next w:val="7"/>
    <w:unhideWhenUsed/>
    <w:qFormat/>
    <w:uiPriority w:val="0"/>
    <w:pPr>
      <w:ind w:firstLine="420"/>
    </w:pPr>
    <w:rPr>
      <w:kern w:val="0"/>
      <w:sz w:val="24"/>
      <w:szCs w:val="20"/>
    </w:rPr>
  </w:style>
  <w:style w:type="paragraph" w:customStyle="1" w:styleId="11">
    <w:name w:val="Char Char Char Char"/>
    <w:basedOn w:val="3"/>
    <w:qFormat/>
    <w:uiPriority w:val="0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/>
      <w:sz w:val="24"/>
      <w:szCs w:val="24"/>
    </w:rPr>
  </w:style>
  <w:style w:type="character" w:customStyle="1" w:styleId="12">
    <w:name w:val="正文文本缩进 Char"/>
    <w:basedOn w:val="9"/>
    <w:link w:val="4"/>
    <w:semiHidden/>
    <w:qFormat/>
    <w:uiPriority w:val="99"/>
    <w:rPr>
      <w:rFonts w:ascii="Calibri" w:hAnsi="Calibri" w:eastAsia="仿宋_GB2312" w:cs="Times New Roman"/>
      <w:spacing w:val="-6"/>
      <w:sz w:val="32"/>
      <w:szCs w:val="32"/>
      <w:lang w:bidi="he-IL"/>
    </w:rPr>
  </w:style>
  <w:style w:type="character" w:customStyle="1" w:styleId="13">
    <w:name w:val="正文首行缩进 2 Char"/>
    <w:basedOn w:val="12"/>
    <w:link w:val="7"/>
    <w:semiHidden/>
    <w:qFormat/>
    <w:uiPriority w:val="99"/>
    <w:rPr>
      <w:rFonts w:ascii="Calibri" w:hAnsi="Calibri" w:eastAsia="仿宋_GB2312" w:cs="Times New Roman"/>
      <w:spacing w:val="-6"/>
      <w:sz w:val="32"/>
      <w:szCs w:val="32"/>
      <w:lang w:bidi="he-IL"/>
    </w:rPr>
  </w:style>
  <w:style w:type="character" w:customStyle="1" w:styleId="14">
    <w:name w:val="文档结构图 Char"/>
    <w:basedOn w:val="9"/>
    <w:link w:val="3"/>
    <w:semiHidden/>
    <w:qFormat/>
    <w:uiPriority w:val="99"/>
    <w:rPr>
      <w:rFonts w:ascii="Microsoft YaHei UI" w:hAnsi="Calibri" w:eastAsia="Microsoft YaHei UI" w:cs="Times New Roman"/>
      <w:spacing w:val="-6"/>
      <w:sz w:val="18"/>
      <w:szCs w:val="18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177</Words>
  <Characters>1010</Characters>
  <Lines>8</Lines>
  <Paragraphs>2</Paragraphs>
  <TotalTime>11</TotalTime>
  <ScaleCrop>false</ScaleCrop>
  <LinksUpToDate>false</LinksUpToDate>
  <CharactersWithSpaces>1185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2023-11-07T03:08:00Z</dcterms:created>
  <dc:creator>daweikebofeier</dc:creator>
  <cp:lastModifiedBy>WPS_332752721</cp:lastModifiedBy>
  <cp:lastPrinted>2023-11-08T08:37:00Z</cp:lastPrinted>
  <dcterms:modified xsi:type="dcterms:W3CDTF">2023-11-09T03:49:50Z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FEECDAB15D97460FB7A8B6397F9089AE_12</vt:lpwstr>
  </property>
</Properties>
</file>