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6F3" w:rsidRDefault="003F16F3" w:rsidP="003F16F3">
      <w:pPr>
        <w:jc w:val="center"/>
        <w:rPr>
          <w:rFonts w:ascii="方正小标宋简体" w:eastAsia="方正小标宋简体"/>
          <w:sz w:val="44"/>
          <w:szCs w:val="44"/>
        </w:rPr>
      </w:pPr>
      <w:r>
        <w:rPr>
          <w:rFonts w:ascii="方正小标宋简体" w:eastAsia="方正小标宋简体" w:hint="eastAsia"/>
          <w:sz w:val="44"/>
          <w:szCs w:val="44"/>
        </w:rPr>
        <w:t>行业碳排放强度先进</w:t>
      </w:r>
      <w:proofErr w:type="gramStart"/>
      <w:r>
        <w:rPr>
          <w:rFonts w:ascii="方正小标宋简体" w:eastAsia="方正小标宋简体" w:hint="eastAsia"/>
          <w:sz w:val="44"/>
          <w:szCs w:val="44"/>
        </w:rPr>
        <w:t>值制定</w:t>
      </w:r>
      <w:proofErr w:type="gramEnd"/>
      <w:r>
        <w:rPr>
          <w:rFonts w:ascii="方正小标宋简体" w:eastAsia="方正小标宋简体" w:hint="eastAsia"/>
          <w:sz w:val="44"/>
          <w:szCs w:val="44"/>
        </w:rPr>
        <w:t>方法</w:t>
      </w:r>
    </w:p>
    <w:p w:rsidR="003F16F3" w:rsidRDefault="003F16F3" w:rsidP="003F16F3">
      <w:pPr>
        <w:spacing w:line="360" w:lineRule="auto"/>
        <w:ind w:firstLine="420"/>
        <w:rPr>
          <w:rFonts w:hint="eastAsia"/>
          <w:sz w:val="24"/>
        </w:rPr>
      </w:pPr>
    </w:p>
    <w:p w:rsidR="003F16F3" w:rsidRDefault="003F16F3" w:rsidP="003F16F3">
      <w:pPr>
        <w:spacing w:line="500" w:lineRule="exact"/>
        <w:ind w:firstLineChars="200" w:firstLine="640"/>
        <w:rPr>
          <w:rFonts w:ascii="黑体" w:eastAsia="黑体" w:hAnsi="宋体"/>
          <w:szCs w:val="32"/>
        </w:rPr>
      </w:pPr>
      <w:r>
        <w:rPr>
          <w:rFonts w:ascii="黑体" w:eastAsia="黑体" w:hAnsi="宋体" w:hint="eastAsia"/>
          <w:szCs w:val="32"/>
        </w:rPr>
        <w:t>一、新增设施配额核定方法</w:t>
      </w:r>
    </w:p>
    <w:p w:rsidR="003F16F3" w:rsidRDefault="003F16F3" w:rsidP="003F16F3">
      <w:pPr>
        <w:spacing w:line="500" w:lineRule="exact"/>
        <w:ind w:firstLineChars="200" w:firstLine="640"/>
        <w:rPr>
          <w:rFonts w:ascii="仿宋_GB2312" w:hint="eastAsia"/>
          <w:szCs w:val="32"/>
        </w:rPr>
      </w:pPr>
      <w:r>
        <w:rPr>
          <w:rFonts w:ascii="仿宋_GB2312" w:hint="eastAsia"/>
          <w:szCs w:val="32"/>
        </w:rPr>
        <w:t>根据《北京市碳排放权交易试点配额核定方法（试行）》，本市新增设施二氧化碳排放配额按所属行业的二氧化碳排放强度先进值进行核定，即单位新增设施配额数量等于新增设施的活动水平与单位所属行业碳排放强度先进值乘积。活动水平数据根据行业不同，分别为产品产量、产值或面积。</w:t>
      </w:r>
    </w:p>
    <w:p w:rsidR="003F16F3" w:rsidRDefault="003F16F3" w:rsidP="003F16F3">
      <w:pPr>
        <w:spacing w:line="500" w:lineRule="exact"/>
        <w:ind w:firstLineChars="200" w:firstLine="640"/>
        <w:rPr>
          <w:rFonts w:ascii="黑体" w:eastAsia="黑体" w:hAnsi="宋体" w:hint="eastAsia"/>
          <w:szCs w:val="32"/>
        </w:rPr>
      </w:pPr>
      <w:r>
        <w:rPr>
          <w:rFonts w:ascii="黑体" w:eastAsia="黑体" w:hAnsi="宋体" w:hint="eastAsia"/>
          <w:szCs w:val="32"/>
        </w:rPr>
        <w:t>二、行业碳排放强度先进</w:t>
      </w:r>
      <w:proofErr w:type="gramStart"/>
      <w:r>
        <w:rPr>
          <w:rFonts w:ascii="黑体" w:eastAsia="黑体" w:hAnsi="宋体" w:hint="eastAsia"/>
          <w:szCs w:val="32"/>
        </w:rPr>
        <w:t>值制定</w:t>
      </w:r>
      <w:proofErr w:type="gramEnd"/>
      <w:r>
        <w:rPr>
          <w:rFonts w:ascii="黑体" w:eastAsia="黑体" w:hAnsi="宋体" w:hint="eastAsia"/>
          <w:szCs w:val="32"/>
        </w:rPr>
        <w:t>原则</w:t>
      </w:r>
    </w:p>
    <w:p w:rsidR="003F16F3" w:rsidRDefault="003F16F3" w:rsidP="003F16F3">
      <w:pPr>
        <w:spacing w:line="500" w:lineRule="exact"/>
        <w:ind w:firstLineChars="200" w:firstLine="640"/>
        <w:rPr>
          <w:rFonts w:ascii="仿宋_GB2312" w:hAnsi="仿宋" w:hint="eastAsia"/>
          <w:szCs w:val="32"/>
        </w:rPr>
      </w:pPr>
      <w:r>
        <w:rPr>
          <w:rFonts w:ascii="仿宋_GB2312" w:hAnsi="仿宋" w:hint="eastAsia"/>
          <w:szCs w:val="32"/>
        </w:rPr>
        <w:t>1.相关性原则。先进</w:t>
      </w:r>
      <w:proofErr w:type="gramStart"/>
      <w:r>
        <w:rPr>
          <w:rFonts w:ascii="仿宋_GB2312" w:hAnsi="仿宋" w:hint="eastAsia"/>
          <w:szCs w:val="32"/>
        </w:rPr>
        <w:t>值能够</w:t>
      </w:r>
      <w:proofErr w:type="gramEnd"/>
      <w:r>
        <w:rPr>
          <w:rFonts w:ascii="仿宋_GB2312" w:hAnsi="仿宋" w:hint="eastAsia"/>
          <w:szCs w:val="32"/>
        </w:rPr>
        <w:t>反映该行业CO</w:t>
      </w:r>
      <w:r>
        <w:rPr>
          <w:rFonts w:ascii="仿宋_GB2312" w:hAnsi="仿宋" w:hint="eastAsia"/>
          <w:szCs w:val="32"/>
          <w:vertAlign w:val="subscript"/>
        </w:rPr>
        <w:t>2</w:t>
      </w:r>
      <w:r>
        <w:rPr>
          <w:rFonts w:ascii="仿宋_GB2312" w:hAnsi="仿宋" w:hint="eastAsia"/>
          <w:szCs w:val="32"/>
        </w:rPr>
        <w:t>排放强度先进水平，并与本市、国家或国际上制定的相关行业CO</w:t>
      </w:r>
      <w:r>
        <w:rPr>
          <w:rFonts w:ascii="仿宋_GB2312" w:hAnsi="仿宋" w:hint="eastAsia"/>
          <w:szCs w:val="32"/>
          <w:vertAlign w:val="subscript"/>
        </w:rPr>
        <w:t>2</w:t>
      </w:r>
      <w:r>
        <w:rPr>
          <w:rFonts w:ascii="仿宋_GB2312" w:hAnsi="仿宋" w:hint="eastAsia"/>
          <w:szCs w:val="32"/>
        </w:rPr>
        <w:t>排放强度标准相比具有先进性。</w:t>
      </w:r>
    </w:p>
    <w:p w:rsidR="003F16F3" w:rsidRDefault="003F16F3" w:rsidP="003F16F3">
      <w:pPr>
        <w:spacing w:line="500" w:lineRule="exact"/>
        <w:ind w:firstLineChars="200" w:firstLine="640"/>
        <w:rPr>
          <w:rFonts w:ascii="仿宋_GB2312" w:hAnsi="仿宋" w:hint="eastAsia"/>
          <w:szCs w:val="32"/>
        </w:rPr>
      </w:pPr>
      <w:r>
        <w:rPr>
          <w:rFonts w:ascii="仿宋_GB2312" w:hAnsi="仿宋" w:hint="eastAsia"/>
          <w:szCs w:val="32"/>
        </w:rPr>
        <w:t>2.完整性原则。先进值是该行业企业/单位生产经营范围内CO</w:t>
      </w:r>
      <w:r>
        <w:rPr>
          <w:rFonts w:ascii="仿宋_GB2312" w:hAnsi="仿宋" w:hint="eastAsia"/>
          <w:szCs w:val="32"/>
          <w:vertAlign w:val="subscript"/>
        </w:rPr>
        <w:t>2</w:t>
      </w:r>
      <w:r>
        <w:rPr>
          <w:rFonts w:ascii="仿宋_GB2312" w:hAnsi="仿宋" w:hint="eastAsia"/>
          <w:szCs w:val="32"/>
        </w:rPr>
        <w:t>排放</w:t>
      </w:r>
      <w:proofErr w:type="gramStart"/>
      <w:r>
        <w:rPr>
          <w:rFonts w:ascii="仿宋_GB2312" w:hAnsi="仿宋" w:hint="eastAsia"/>
          <w:szCs w:val="32"/>
        </w:rPr>
        <w:t>源产生</w:t>
      </w:r>
      <w:proofErr w:type="gramEnd"/>
      <w:r>
        <w:rPr>
          <w:rFonts w:ascii="仿宋_GB2312" w:hAnsi="仿宋" w:hint="eastAsia"/>
          <w:szCs w:val="32"/>
        </w:rPr>
        <w:t>的排放（直接排放、工业生产过程排放和间接排放）强度先进值。</w:t>
      </w:r>
    </w:p>
    <w:p w:rsidR="003F16F3" w:rsidRDefault="003F16F3" w:rsidP="003F16F3">
      <w:pPr>
        <w:spacing w:line="500" w:lineRule="exact"/>
        <w:ind w:firstLineChars="200" w:firstLine="640"/>
        <w:rPr>
          <w:rFonts w:ascii="仿宋_GB2312" w:hAnsi="仿宋" w:hint="eastAsia"/>
          <w:szCs w:val="32"/>
        </w:rPr>
      </w:pPr>
      <w:r>
        <w:rPr>
          <w:rFonts w:ascii="仿宋_GB2312" w:hAnsi="仿宋" w:hint="eastAsia"/>
          <w:szCs w:val="32"/>
        </w:rPr>
        <w:t>3.一致性原则。先进</w:t>
      </w:r>
      <w:proofErr w:type="gramStart"/>
      <w:r>
        <w:rPr>
          <w:rFonts w:ascii="仿宋_GB2312" w:hAnsi="仿宋" w:hint="eastAsia"/>
          <w:szCs w:val="32"/>
        </w:rPr>
        <w:t>值开发</w:t>
      </w:r>
      <w:proofErr w:type="gramEnd"/>
      <w:r>
        <w:rPr>
          <w:rFonts w:ascii="仿宋_GB2312" w:hAnsi="仿宋" w:hint="eastAsia"/>
          <w:szCs w:val="32"/>
        </w:rPr>
        <w:t>中涉及企业CO</w:t>
      </w:r>
      <w:r>
        <w:rPr>
          <w:rFonts w:ascii="仿宋_GB2312" w:hAnsi="仿宋" w:hint="eastAsia"/>
          <w:szCs w:val="32"/>
          <w:vertAlign w:val="subscript"/>
        </w:rPr>
        <w:t>2</w:t>
      </w:r>
      <w:r>
        <w:rPr>
          <w:rFonts w:ascii="仿宋_GB2312" w:hAnsi="仿宋" w:hint="eastAsia"/>
          <w:szCs w:val="32"/>
        </w:rPr>
        <w:t>排放边界的设定、排放源的确定、排放数据的收集、排放量核算等采用方法和遵守的原则与《企业（单位）二氧化碳排放核算和报告指南》一致。</w:t>
      </w:r>
    </w:p>
    <w:p w:rsidR="003F16F3" w:rsidRDefault="003F16F3" w:rsidP="003F16F3">
      <w:pPr>
        <w:spacing w:line="500" w:lineRule="exact"/>
        <w:ind w:firstLineChars="200" w:firstLine="640"/>
        <w:rPr>
          <w:rFonts w:ascii="仿宋_GB2312" w:hAnsi="仿宋" w:hint="eastAsia"/>
          <w:szCs w:val="32"/>
        </w:rPr>
      </w:pPr>
      <w:r>
        <w:rPr>
          <w:rFonts w:ascii="仿宋_GB2312" w:hAnsi="仿宋" w:hint="eastAsia"/>
          <w:szCs w:val="32"/>
        </w:rPr>
        <w:t>4.透明性原则。具有明确的数据收集方法和计算过程，并对数据来源和计算方法进行说明。先进</w:t>
      </w:r>
      <w:proofErr w:type="gramStart"/>
      <w:r>
        <w:rPr>
          <w:rFonts w:ascii="仿宋_GB2312" w:hAnsi="仿宋" w:hint="eastAsia"/>
          <w:szCs w:val="32"/>
        </w:rPr>
        <w:t>值制定</w:t>
      </w:r>
      <w:proofErr w:type="gramEnd"/>
      <w:r>
        <w:rPr>
          <w:rFonts w:ascii="仿宋_GB2312" w:hAnsi="仿宋" w:hint="eastAsia"/>
          <w:szCs w:val="32"/>
        </w:rPr>
        <w:t>所用的活动水平数据和历年CO</w:t>
      </w:r>
      <w:r>
        <w:rPr>
          <w:rFonts w:ascii="仿宋_GB2312" w:hAnsi="仿宋" w:hint="eastAsia"/>
          <w:szCs w:val="32"/>
          <w:vertAlign w:val="subscript"/>
        </w:rPr>
        <w:t>2</w:t>
      </w:r>
      <w:r>
        <w:rPr>
          <w:rFonts w:ascii="仿宋_GB2312" w:hAnsi="仿宋" w:hint="eastAsia"/>
          <w:szCs w:val="32"/>
        </w:rPr>
        <w:t>排放数据是基于企业报送并经过核查机构核查后的数据。</w:t>
      </w:r>
    </w:p>
    <w:p w:rsidR="003F16F3" w:rsidRDefault="003F16F3" w:rsidP="003F16F3">
      <w:pPr>
        <w:spacing w:line="500" w:lineRule="exact"/>
        <w:ind w:firstLineChars="200" w:firstLine="640"/>
        <w:rPr>
          <w:rFonts w:ascii="仿宋_GB2312" w:hAnsi="仿宋" w:hint="eastAsia"/>
          <w:szCs w:val="32"/>
        </w:rPr>
      </w:pPr>
      <w:r>
        <w:rPr>
          <w:rFonts w:ascii="仿宋_GB2312" w:hAnsi="仿宋" w:hint="eastAsia"/>
          <w:szCs w:val="32"/>
        </w:rPr>
        <w:t>5.可操作性原则。该先进值适用于北京市参加</w:t>
      </w:r>
      <w:proofErr w:type="gramStart"/>
      <w:r>
        <w:rPr>
          <w:rFonts w:ascii="仿宋_GB2312" w:hAnsi="仿宋" w:hint="eastAsia"/>
          <w:szCs w:val="32"/>
        </w:rPr>
        <w:t>碳交易</w:t>
      </w:r>
      <w:proofErr w:type="gramEnd"/>
      <w:r>
        <w:rPr>
          <w:rFonts w:ascii="仿宋_GB2312" w:hAnsi="仿宋" w:hint="eastAsia"/>
          <w:szCs w:val="32"/>
        </w:rPr>
        <w:t>企业新增设施排放配额分配。</w:t>
      </w:r>
    </w:p>
    <w:p w:rsidR="003F16F3" w:rsidRDefault="003F16F3" w:rsidP="003F16F3">
      <w:pPr>
        <w:spacing w:line="500" w:lineRule="exact"/>
        <w:ind w:firstLineChars="200" w:firstLine="640"/>
        <w:rPr>
          <w:rFonts w:ascii="黑体" w:eastAsia="黑体" w:hAnsi="宋体" w:hint="eastAsia"/>
          <w:szCs w:val="32"/>
        </w:rPr>
      </w:pPr>
      <w:r>
        <w:rPr>
          <w:rFonts w:ascii="黑体" w:eastAsia="黑体" w:hAnsi="宋体" w:hint="eastAsia"/>
          <w:szCs w:val="32"/>
        </w:rPr>
        <w:t>三、行业碳排放强度先进</w:t>
      </w:r>
      <w:proofErr w:type="gramStart"/>
      <w:r>
        <w:rPr>
          <w:rFonts w:ascii="黑体" w:eastAsia="黑体" w:hAnsi="宋体" w:hint="eastAsia"/>
          <w:szCs w:val="32"/>
        </w:rPr>
        <w:t>值制定</w:t>
      </w:r>
      <w:proofErr w:type="gramEnd"/>
      <w:r>
        <w:rPr>
          <w:rFonts w:ascii="黑体" w:eastAsia="黑体" w:hAnsi="宋体" w:hint="eastAsia"/>
          <w:szCs w:val="32"/>
        </w:rPr>
        <w:t>方法</w:t>
      </w:r>
    </w:p>
    <w:p w:rsidR="003F16F3" w:rsidRDefault="003F16F3" w:rsidP="003F16F3">
      <w:pPr>
        <w:spacing w:line="500" w:lineRule="exact"/>
        <w:ind w:firstLineChars="200" w:firstLine="640"/>
        <w:rPr>
          <w:rFonts w:ascii="仿宋_GB2312" w:hint="eastAsia"/>
          <w:szCs w:val="32"/>
        </w:rPr>
      </w:pPr>
      <w:r>
        <w:rPr>
          <w:rFonts w:ascii="仿宋_GB2312" w:hint="eastAsia"/>
          <w:szCs w:val="32"/>
        </w:rPr>
        <w:t>行业碳排放强度先进值</w:t>
      </w:r>
      <w:r>
        <w:rPr>
          <w:rFonts w:ascii="仿宋_GB2312" w:hAnsi="宋体" w:cs="仿宋_GB2312" w:hint="eastAsia"/>
          <w:szCs w:val="32"/>
        </w:rPr>
        <w:t>参照国内外同一行业、同类产品</w:t>
      </w:r>
      <w:r>
        <w:rPr>
          <w:rFonts w:ascii="仿宋_GB2312" w:hAnsi="宋体" w:cs="仿宋_GB2312" w:hint="eastAsia"/>
          <w:szCs w:val="32"/>
        </w:rPr>
        <w:lastRenderedPageBreak/>
        <w:t>的先进碳排放水平，结合本市相关行业实际情况综合确定。</w:t>
      </w:r>
      <w:r>
        <w:rPr>
          <w:rFonts w:ascii="仿宋_GB2312" w:hint="eastAsia"/>
          <w:szCs w:val="32"/>
        </w:rPr>
        <w:t>以行业内平均碳排放强度前10%数据作为行业碳排放强度先进值的上限，以行业内平均碳排放强度前20%数据作为行业碳排放强度先进值的下限，经本市最新各行业地方能耗限额先进值，国内领先水平或国际先进水平校验后，最终确定行业碳排放强度先进值。</w:t>
      </w:r>
    </w:p>
    <w:p w:rsidR="003F16F3" w:rsidRDefault="003F16F3" w:rsidP="003F16F3">
      <w:pPr>
        <w:spacing w:line="500" w:lineRule="exact"/>
        <w:ind w:firstLineChars="200" w:firstLine="640"/>
        <w:rPr>
          <w:rFonts w:ascii="黑体" w:eastAsia="黑体" w:hAnsi="宋体" w:hint="eastAsia"/>
          <w:szCs w:val="32"/>
        </w:rPr>
      </w:pPr>
      <w:r>
        <w:rPr>
          <w:rFonts w:ascii="黑体" w:eastAsia="黑体" w:hAnsi="宋体" w:hint="eastAsia"/>
          <w:szCs w:val="32"/>
        </w:rPr>
        <w:t>四、第一批行业碳排放强度先进</w:t>
      </w:r>
      <w:proofErr w:type="gramStart"/>
      <w:r>
        <w:rPr>
          <w:rFonts w:ascii="黑体" w:eastAsia="黑体" w:hAnsi="宋体" w:hint="eastAsia"/>
          <w:szCs w:val="32"/>
        </w:rPr>
        <w:t>值活动</w:t>
      </w:r>
      <w:proofErr w:type="gramEnd"/>
      <w:r>
        <w:rPr>
          <w:rFonts w:ascii="黑体" w:eastAsia="黑体" w:hAnsi="宋体" w:hint="eastAsia"/>
          <w:szCs w:val="32"/>
        </w:rPr>
        <w:t>水平</w:t>
      </w:r>
    </w:p>
    <w:p w:rsidR="003F16F3" w:rsidRDefault="003F16F3" w:rsidP="003F16F3">
      <w:pPr>
        <w:spacing w:afterLines="100" w:after="312" w:line="500" w:lineRule="exact"/>
        <w:ind w:firstLineChars="200" w:firstLine="640"/>
        <w:rPr>
          <w:rFonts w:ascii="仿宋_GB2312" w:hint="eastAsia"/>
          <w:szCs w:val="32"/>
        </w:rPr>
      </w:pPr>
      <w:r>
        <w:rPr>
          <w:rFonts w:ascii="仿宋_GB2312" w:hint="eastAsia"/>
          <w:szCs w:val="32"/>
        </w:rPr>
        <w:t>本市第一批共对23个行业的先进值进行研究，其中16个工业行业，7个服务业。</w:t>
      </w: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88"/>
        <w:gridCol w:w="2273"/>
      </w:tblGrid>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jc w:val="center"/>
              <w:rPr>
                <w:rFonts w:ascii="仿宋_GB2312"/>
                <w:b/>
                <w:sz w:val="21"/>
                <w:szCs w:val="21"/>
              </w:rPr>
            </w:pPr>
            <w:r>
              <w:rPr>
                <w:rFonts w:ascii="仿宋_GB2312" w:hint="eastAsia"/>
                <w:b/>
                <w:sz w:val="21"/>
                <w:szCs w:val="21"/>
              </w:rPr>
              <w:t>行业名称</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b/>
                <w:sz w:val="21"/>
                <w:szCs w:val="21"/>
              </w:rPr>
            </w:pPr>
            <w:r>
              <w:rPr>
                <w:rFonts w:ascii="仿宋_GB2312" w:hint="eastAsia"/>
                <w:b/>
                <w:sz w:val="21"/>
                <w:szCs w:val="21"/>
              </w:rPr>
              <w:t>活动水平</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电气机械和器材、计算机、通信和其他电子设备制造</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非金属矿物制品</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化学原料和化学制品制造</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金属制品制造</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农副食品加工</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汽车、铁路零部件及配件制造</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食品制造</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 xml:space="preserve">西药制造 </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中成药生产</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饮料制造</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纸制品制造</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产值</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火力发电</w:t>
            </w:r>
          </w:p>
        </w:tc>
        <w:tc>
          <w:tcPr>
            <w:tcW w:w="2273" w:type="dxa"/>
            <w:tcBorders>
              <w:top w:val="single" w:sz="4" w:space="0" w:color="auto"/>
              <w:left w:val="single" w:sz="4" w:space="0" w:color="auto"/>
              <w:bottom w:val="single" w:sz="4" w:space="0" w:color="auto"/>
              <w:right w:val="single" w:sz="4" w:space="0" w:color="auto"/>
            </w:tcBorders>
            <w:vAlign w:val="center"/>
            <w:hideMark/>
          </w:tcPr>
          <w:p w:rsidR="003F16F3" w:rsidRDefault="003F16F3">
            <w:pPr>
              <w:jc w:val="center"/>
              <w:rPr>
                <w:rFonts w:ascii="仿宋_GB2312"/>
                <w:sz w:val="21"/>
                <w:szCs w:val="21"/>
              </w:rPr>
            </w:pPr>
            <w:r>
              <w:rPr>
                <w:rFonts w:ascii="仿宋_GB2312" w:hint="eastAsia"/>
                <w:sz w:val="21"/>
                <w:szCs w:val="21"/>
              </w:rPr>
              <w:t>产量</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热力生产和供应</w:t>
            </w:r>
          </w:p>
        </w:tc>
        <w:tc>
          <w:tcPr>
            <w:tcW w:w="2273" w:type="dxa"/>
            <w:tcBorders>
              <w:top w:val="single" w:sz="4" w:space="0" w:color="auto"/>
              <w:left w:val="single" w:sz="4" w:space="0" w:color="auto"/>
              <w:bottom w:val="single" w:sz="4" w:space="0" w:color="auto"/>
              <w:right w:val="single" w:sz="4" w:space="0" w:color="auto"/>
            </w:tcBorders>
            <w:vAlign w:val="center"/>
            <w:hideMark/>
          </w:tcPr>
          <w:p w:rsidR="003F16F3" w:rsidRDefault="003F16F3">
            <w:pPr>
              <w:jc w:val="center"/>
              <w:rPr>
                <w:rFonts w:ascii="仿宋_GB2312"/>
                <w:sz w:val="21"/>
                <w:szCs w:val="21"/>
              </w:rPr>
            </w:pPr>
            <w:r>
              <w:rPr>
                <w:rFonts w:ascii="仿宋_GB2312" w:hint="eastAsia"/>
                <w:sz w:val="21"/>
                <w:szCs w:val="21"/>
              </w:rPr>
              <w:t>产量</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整车制造业</w:t>
            </w:r>
          </w:p>
        </w:tc>
        <w:tc>
          <w:tcPr>
            <w:tcW w:w="2273" w:type="dxa"/>
            <w:tcBorders>
              <w:top w:val="single" w:sz="4" w:space="0" w:color="auto"/>
              <w:left w:val="single" w:sz="4" w:space="0" w:color="auto"/>
              <w:bottom w:val="single" w:sz="4" w:space="0" w:color="auto"/>
              <w:right w:val="single" w:sz="4" w:space="0" w:color="auto"/>
            </w:tcBorders>
            <w:vAlign w:val="center"/>
            <w:hideMark/>
          </w:tcPr>
          <w:p w:rsidR="003F16F3" w:rsidRDefault="003F16F3">
            <w:pPr>
              <w:jc w:val="center"/>
              <w:rPr>
                <w:rFonts w:ascii="仿宋_GB2312"/>
                <w:sz w:val="21"/>
                <w:szCs w:val="21"/>
              </w:rPr>
            </w:pPr>
            <w:r>
              <w:rPr>
                <w:rFonts w:ascii="仿宋_GB2312" w:hint="eastAsia"/>
                <w:sz w:val="21"/>
                <w:szCs w:val="21"/>
              </w:rPr>
              <w:t>产量</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水泥制造业</w:t>
            </w:r>
          </w:p>
        </w:tc>
        <w:tc>
          <w:tcPr>
            <w:tcW w:w="2273" w:type="dxa"/>
            <w:tcBorders>
              <w:top w:val="single" w:sz="4" w:space="0" w:color="auto"/>
              <w:left w:val="single" w:sz="4" w:space="0" w:color="auto"/>
              <w:bottom w:val="single" w:sz="4" w:space="0" w:color="auto"/>
              <w:right w:val="single" w:sz="4" w:space="0" w:color="auto"/>
            </w:tcBorders>
            <w:vAlign w:val="center"/>
            <w:hideMark/>
          </w:tcPr>
          <w:p w:rsidR="003F16F3" w:rsidRDefault="003F16F3">
            <w:pPr>
              <w:jc w:val="center"/>
              <w:rPr>
                <w:rFonts w:ascii="仿宋_GB2312"/>
                <w:sz w:val="21"/>
                <w:szCs w:val="21"/>
              </w:rPr>
            </w:pPr>
            <w:r>
              <w:rPr>
                <w:rFonts w:ascii="仿宋_GB2312" w:hint="eastAsia"/>
                <w:sz w:val="21"/>
                <w:szCs w:val="21"/>
              </w:rPr>
              <w:t>产量</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啤酒制造业</w:t>
            </w:r>
          </w:p>
        </w:tc>
        <w:tc>
          <w:tcPr>
            <w:tcW w:w="2273" w:type="dxa"/>
            <w:tcBorders>
              <w:top w:val="single" w:sz="4" w:space="0" w:color="auto"/>
              <w:left w:val="single" w:sz="4" w:space="0" w:color="auto"/>
              <w:bottom w:val="single" w:sz="4" w:space="0" w:color="auto"/>
              <w:right w:val="single" w:sz="4" w:space="0" w:color="auto"/>
            </w:tcBorders>
            <w:vAlign w:val="center"/>
            <w:hideMark/>
          </w:tcPr>
          <w:p w:rsidR="003F16F3" w:rsidRDefault="003F16F3">
            <w:pPr>
              <w:jc w:val="center"/>
              <w:rPr>
                <w:rFonts w:ascii="仿宋_GB2312"/>
                <w:sz w:val="21"/>
                <w:szCs w:val="21"/>
              </w:rPr>
            </w:pPr>
            <w:r>
              <w:rPr>
                <w:rFonts w:ascii="仿宋_GB2312" w:hint="eastAsia"/>
                <w:sz w:val="21"/>
                <w:szCs w:val="21"/>
              </w:rPr>
              <w:t>产量</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物业管理类</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面积</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高校和工程技术研发类</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面积</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银行业</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面积</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大型医院类</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面积</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信息传输业</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业务总量或面积</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其他服务业</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面积</w:t>
            </w:r>
          </w:p>
        </w:tc>
      </w:tr>
      <w:tr w:rsidR="003F16F3" w:rsidTr="003F16F3">
        <w:trPr>
          <w:trHeight w:val="284"/>
          <w:jc w:val="center"/>
        </w:trPr>
        <w:tc>
          <w:tcPr>
            <w:tcW w:w="6588" w:type="dxa"/>
            <w:tcBorders>
              <w:top w:val="single" w:sz="4" w:space="0" w:color="auto"/>
              <w:left w:val="single" w:sz="4" w:space="0" w:color="auto"/>
              <w:bottom w:val="single" w:sz="4" w:space="0" w:color="auto"/>
              <w:right w:val="single" w:sz="4" w:space="0" w:color="auto"/>
            </w:tcBorders>
            <w:vAlign w:val="center"/>
            <w:hideMark/>
          </w:tcPr>
          <w:p w:rsidR="003F16F3" w:rsidRDefault="003F16F3">
            <w:pPr>
              <w:rPr>
                <w:rFonts w:ascii="仿宋_GB2312"/>
                <w:sz w:val="21"/>
                <w:szCs w:val="21"/>
              </w:rPr>
            </w:pPr>
            <w:r>
              <w:rPr>
                <w:rFonts w:ascii="仿宋_GB2312" w:hint="eastAsia"/>
                <w:sz w:val="21"/>
                <w:szCs w:val="21"/>
              </w:rPr>
              <w:t>批发零售业</w:t>
            </w:r>
          </w:p>
        </w:tc>
        <w:tc>
          <w:tcPr>
            <w:tcW w:w="2273" w:type="dxa"/>
            <w:tcBorders>
              <w:top w:val="single" w:sz="4" w:space="0" w:color="auto"/>
              <w:left w:val="single" w:sz="4" w:space="0" w:color="auto"/>
              <w:bottom w:val="single" w:sz="4" w:space="0" w:color="auto"/>
              <w:right w:val="single" w:sz="4" w:space="0" w:color="auto"/>
            </w:tcBorders>
            <w:noWrap/>
            <w:vAlign w:val="center"/>
            <w:hideMark/>
          </w:tcPr>
          <w:p w:rsidR="003F16F3" w:rsidRDefault="003F16F3">
            <w:pPr>
              <w:jc w:val="center"/>
              <w:rPr>
                <w:rFonts w:ascii="仿宋_GB2312"/>
                <w:sz w:val="21"/>
                <w:szCs w:val="21"/>
              </w:rPr>
            </w:pPr>
            <w:r>
              <w:rPr>
                <w:rFonts w:ascii="仿宋_GB2312" w:hint="eastAsia"/>
                <w:sz w:val="21"/>
                <w:szCs w:val="21"/>
              </w:rPr>
              <w:t>面积</w:t>
            </w:r>
          </w:p>
        </w:tc>
      </w:tr>
    </w:tbl>
    <w:p w:rsidR="003F16F3" w:rsidRDefault="003F16F3" w:rsidP="003F16F3">
      <w:pPr>
        <w:ind w:firstLineChars="200" w:firstLine="420"/>
        <w:rPr>
          <w:rFonts w:ascii="仿宋_GB2312" w:hint="eastAsia"/>
          <w:sz w:val="21"/>
          <w:szCs w:val="21"/>
        </w:rPr>
      </w:pPr>
      <w:r>
        <w:rPr>
          <w:rFonts w:ascii="仿宋_GB2312" w:hint="eastAsia"/>
          <w:sz w:val="21"/>
          <w:szCs w:val="21"/>
        </w:rPr>
        <w:t>各行业碳排放强度先进值将在2013年碳排放报告报送及核查工作完成后另行公布。</w:t>
      </w: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3F16F3" w:rsidRDefault="003F16F3" w:rsidP="003F16F3">
      <w:pPr>
        <w:spacing w:line="360" w:lineRule="auto"/>
        <w:rPr>
          <w:rFonts w:ascii="黑体" w:eastAsia="黑体" w:hAnsi="Batang" w:hint="eastAsia"/>
          <w:szCs w:val="32"/>
        </w:rPr>
      </w:pPr>
    </w:p>
    <w:p w:rsidR="008742DF" w:rsidRPr="003F16F3" w:rsidRDefault="008742DF">
      <w:bookmarkStart w:id="0" w:name="_GoBack"/>
      <w:bookmarkEnd w:id="0"/>
    </w:p>
    <w:sectPr w:rsidR="008742DF" w:rsidRPr="003F16F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6F3"/>
    <w:rsid w:val="003F16F3"/>
    <w:rsid w:val="00874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6F3"/>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6F3"/>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73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163</Words>
  <Characters>930</Characters>
  <Application>Microsoft Office Word</Application>
  <DocSecurity>0</DocSecurity>
  <Lines>7</Lines>
  <Paragraphs>2</Paragraphs>
  <ScaleCrop>false</ScaleCrop>
  <Company>Microsoft</Company>
  <LinksUpToDate>false</LinksUpToDate>
  <CharactersWithSpaces>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dc:creator>
  <cp:lastModifiedBy>cn</cp:lastModifiedBy>
  <cp:revision>1</cp:revision>
  <dcterms:created xsi:type="dcterms:W3CDTF">2014-03-07T06:28:00Z</dcterms:created>
  <dcterms:modified xsi:type="dcterms:W3CDTF">2014-03-07T06:28:00Z</dcterms:modified>
</cp:coreProperties>
</file>